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87629-6k_delixy.htm"/>
      <w:bookmarkStart w:id="1" w:name="ksea02876296k_delixy"/>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April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001-42738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Delixy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(T</w:t>
      </w:r>
      <w:r>
        <w:rPr>
          <w:rFonts w:ascii="Times New Roman;Times;Serif" w:hAnsi="Times New Roman;Times;Serif"/>
          <w:b w:val="false"/>
          <w:i w:val="false"/>
          <w:caps w:val="false"/>
          <w:smallCaps w:val="false"/>
          <w:sz w:val="20"/>
        </w:rPr>
        <w: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883 North Bridge Road, #04-01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Southbank, Singapore 198785</w:t>
      </w:r>
      <w:r>
        <w:rPr>
          <w:rFonts w:ascii="Times New Roman;Times;Serif" w:hAnsi="Times New Roman;Times;Serif"/>
          <w:b w:val="false"/>
          <w:i w:val="false"/>
          <w:caps w:val="false"/>
          <w:smallCaps w:val="false"/>
          <w:sz w:val="20"/>
        </w:rPr>
        <w:b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23, 2026, Delixy Holdings Limited (the “Company”) received a notification letter from the Nasdaq Stock Market LLC (“Nasdaq”), indicating that the Company is not in compliance with Nasdaq’s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5550(a)(2) requires that listed securities maintain a minimum bid price of $1.00 per share. The notification letter stated that the Company’s Class A ordinary shares have failed to maintain this minimum bid price for the last 30 consecutive business days, from March 11, 2026, to April 22,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notification does not immediately impact the listing or trading of the Company’s Class A ordinary shares on Nasdaq. Under Nasdaq rules, the Company has been granted a compliance period of 180 calendar days, until October 20, 2026, to regain compliance. If, at any time during this period, the closing bid price of the Company’s stock is at least $1.00 per share for a minimum of ten consecutive business days, Nasdaq will confirm compliance, and the matter will be resolved.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regain compliance by October 20, 2026, it may be eligible for additional time. To qualify, the Company will be required to meet the continued listing requirement for market value of publicly held shares and all other initial listing standards for the Nasdaq Capital Market, with the exception of the bid price requirement, and will need to provide written notice of its intention to cure the deficiency during the second compliance period, which may include implementing a reverse stock split if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actively monitoring the bid price of its Class A ordinary shares and is considering all available options to regain compliance with Nasdaq’s requirements. The Company remains committed to delivering value to its shareholders and maintaining its listing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29, 2026, the Company issued a press release entitled “Delixy Holdings Limited Announces Receipt of Nasdaq Notification Regarding Minimum Bid Price Deficiency”. A copy of the press release is filed as Exhibit 99.1 to this Current Report on Form 6-K and is incorporated herein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86"/>
        <w:gridCol w:w="60"/>
        <w:gridCol w:w="9059"/>
      </w:tblGrid>
      <w:tr>
        <w:trPr/>
        <w:tc>
          <w:tcPr>
            <w:tcW w:w="1086"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059" w:type="dxa"/>
            <w:tcBorders>
              <w:bottom w:val="single" w:sz="12" w:space="0" w:color="000000"/>
            </w:tcBorders>
            <w:vAlign w:val="center"/>
          </w:tcPr>
          <w:p>
            <w:pPr>
              <w:pStyle w:val="TableContents"/>
              <w:bidi w:val="0"/>
              <w:spacing w:before="0" w:after="283"/>
              <w:jc w:val="both"/>
              <w:rPr>
                <w:b/>
              </w:rPr>
            </w:pPr>
            <w:r>
              <w:rPr>
                <w:b/>
              </w:rPr>
              <w:t>Description</w:t>
            </w:r>
          </w:p>
        </w:tc>
      </w:tr>
      <w:tr>
        <w:trPr/>
        <w:tc>
          <w:tcPr>
            <w:tcW w:w="1086"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9" w:type="dxa"/>
            <w:tcBorders/>
            <w:shd w:fill="CCEEFF" w:val="clear"/>
            <w:tcMar>
              <w:bottom w:w="0" w:type="dxa"/>
            </w:tcMar>
            <w:vAlign w:val="center"/>
          </w:tcPr>
          <w:p>
            <w:pPr>
              <w:pStyle w:val="TableContents"/>
              <w:bidi w:val="0"/>
              <w:spacing w:before="0" w:after="283"/>
              <w:jc w:val="both"/>
              <w:rPr/>
            </w:pPr>
            <w:hyperlink w:anchor="ea028762901ex99-1.htm">
              <w:r>
                <w:rPr>
                  <w:rStyle w:val="InternetLink"/>
                </w:rPr>
                <w:t>Press Release – Delixy Holdings Limited Announces Receipt of Nasdaq Notification Regarding Minimum Bid Price Deficiency</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490"/>
        <w:jc w:val="left"/>
        <w:rPr>
          <w:caps w:val="false"/>
          <w:smallCaps w:val="false"/>
        </w:rPr>
      </w:pPr>
      <w:r>
        <w:rPr>
          <w:caps w:val="false"/>
          <w:smallCaps w:val="false"/>
        </w:rPr>
        <w:t> </w:t>
      </w:r>
    </w:p>
    <w:tbl>
      <w:tblPr>
        <w:tblW w:w="9315" w:type="dxa"/>
        <w:jc w:val="left"/>
        <w:tblInd w:w="0" w:type="dxa"/>
        <w:tblLayout w:type="fixed"/>
        <w:tblCellMar>
          <w:top w:w="0" w:type="dxa"/>
          <w:left w:w="0" w:type="dxa"/>
          <w:bottom w:w="0" w:type="dxa"/>
          <w:right w:w="0" w:type="dxa"/>
        </w:tblCellMar>
      </w:tblPr>
      <w:tblGrid>
        <w:gridCol w:w="2000"/>
        <w:gridCol w:w="710"/>
        <w:gridCol w:w="6605"/>
      </w:tblGrid>
      <w:tr>
        <w:trPr/>
        <w:tc>
          <w:tcPr>
            <w:tcW w:w="2000" w:type="dxa"/>
            <w:tcBorders/>
            <w:shd w:fill="FEFEFE" w:val="clear"/>
            <w:vAlign w:val="center"/>
          </w:tcPr>
          <w:p>
            <w:pPr>
              <w:pStyle w:val="TableContents"/>
              <w:bidi w:val="0"/>
              <w:spacing w:before="0" w:after="283"/>
              <w:jc w:val="left"/>
              <w:rPr/>
            </w:pPr>
            <w:r>
              <w:rPr/>
              <w:t> </w:t>
            </w:r>
          </w:p>
        </w:tc>
        <w:tc>
          <w:tcPr>
            <w:tcW w:w="7315" w:type="dxa"/>
            <w:gridSpan w:val="2"/>
            <w:tcBorders/>
            <w:shd w:fill="FEFEFE" w:val="clear"/>
            <w:vAlign w:val="center"/>
          </w:tcPr>
          <w:p>
            <w:pPr>
              <w:pStyle w:val="TableContents"/>
              <w:bidi w:val="0"/>
              <w:spacing w:before="0" w:after="283"/>
              <w:jc w:val="left"/>
              <w:rPr>
                <w:b/>
              </w:rPr>
            </w:pPr>
            <w:r>
              <w:rPr>
                <w:b/>
              </w:rPr>
              <w:t>Delixy Holdings Limited</w:t>
            </w:r>
          </w:p>
        </w:tc>
      </w:tr>
      <w:tr>
        <w:trPr/>
        <w:tc>
          <w:tcPr>
            <w:tcW w:w="2000" w:type="dxa"/>
            <w:tcBorders/>
            <w:shd w:fill="FEFEFE" w:val="clear"/>
            <w:vAlign w:val="center"/>
          </w:tcPr>
          <w:p>
            <w:pPr>
              <w:pStyle w:val="TableContents"/>
              <w:bidi w:val="0"/>
              <w:spacing w:before="0" w:after="283"/>
              <w:jc w:val="left"/>
              <w:rPr/>
            </w:pPr>
            <w:r>
              <w:rPr/>
              <w:t> </w:t>
            </w:r>
          </w:p>
        </w:tc>
        <w:tc>
          <w:tcPr>
            <w:tcW w:w="710" w:type="dxa"/>
            <w:tcBorders/>
            <w:shd w:fill="FEFEFE" w:val="clear"/>
            <w:vAlign w:val="center"/>
          </w:tcPr>
          <w:p>
            <w:pPr>
              <w:pStyle w:val="TableContents"/>
              <w:bidi w:val="0"/>
              <w:spacing w:before="0" w:after="283"/>
              <w:jc w:val="left"/>
              <w:rPr/>
            </w:pPr>
            <w:r>
              <w:rPr/>
              <w:t> </w:t>
            </w:r>
          </w:p>
        </w:tc>
        <w:tc>
          <w:tcPr>
            <w:tcW w:w="6605" w:type="dxa"/>
            <w:tcBorders/>
            <w:shd w:fill="FEFEFE" w:val="clear"/>
            <w:vAlign w:val="center"/>
          </w:tcPr>
          <w:p>
            <w:pPr>
              <w:pStyle w:val="TableContents"/>
              <w:bidi w:val="0"/>
              <w:spacing w:before="0" w:after="283"/>
              <w:jc w:val="left"/>
              <w:rPr/>
            </w:pPr>
            <w:r>
              <w:rPr/>
              <w:t> </w:t>
            </w:r>
          </w:p>
        </w:tc>
      </w:tr>
      <w:tr>
        <w:trPr/>
        <w:tc>
          <w:tcPr>
            <w:tcW w:w="2000" w:type="dxa"/>
            <w:tcBorders/>
            <w:shd w:fill="FEFEFE" w:val="clear"/>
            <w:vAlign w:val="center"/>
          </w:tcPr>
          <w:p>
            <w:pPr>
              <w:pStyle w:val="TableContents"/>
              <w:bidi w:val="0"/>
              <w:spacing w:before="0" w:after="283"/>
              <w:jc w:val="left"/>
              <w:rPr/>
            </w:pPr>
            <w:r>
              <w:rPr/>
              <w:t>Date: April 29, 2026</w:t>
            </w:r>
          </w:p>
        </w:tc>
        <w:tc>
          <w:tcPr>
            <w:tcW w:w="710" w:type="dxa"/>
            <w:tcBorders/>
            <w:shd w:fill="FEFEFE" w:val="clear"/>
            <w:vAlign w:val="center"/>
          </w:tcPr>
          <w:p>
            <w:pPr>
              <w:pStyle w:val="TableContents"/>
              <w:bidi w:val="0"/>
              <w:spacing w:before="0" w:after="283"/>
              <w:jc w:val="left"/>
              <w:rPr/>
            </w:pPr>
            <w:r>
              <w:rPr/>
              <w:t>By:</w:t>
            </w:r>
          </w:p>
        </w:tc>
        <w:tc>
          <w:tcPr>
            <w:tcW w:w="6605" w:type="dxa"/>
            <w:tcBorders>
              <w:bottom w:val="single" w:sz="12" w:space="0" w:color="000000"/>
            </w:tcBorders>
            <w:shd w:fill="FEFEFE" w:val="clear"/>
            <w:tcMar>
              <w:bottom w:w="28" w:type="dxa"/>
            </w:tcMar>
            <w:vAlign w:val="center"/>
          </w:tcPr>
          <w:p>
            <w:pPr>
              <w:pStyle w:val="TableContents"/>
              <w:bidi w:val="0"/>
              <w:spacing w:before="0" w:after="283"/>
              <w:jc w:val="left"/>
              <w:rPr>
                <w:i/>
              </w:rPr>
            </w:pPr>
            <w:r>
              <w:rPr>
                <w:i/>
              </w:rPr>
              <w:t>/s/ Xie, Dongjian</w:t>
            </w:r>
          </w:p>
        </w:tc>
      </w:tr>
      <w:tr>
        <w:trPr/>
        <w:tc>
          <w:tcPr>
            <w:tcW w:w="2000" w:type="dxa"/>
            <w:tcBorders/>
            <w:shd w:fill="FEFEFE" w:val="clear"/>
            <w:vAlign w:val="center"/>
          </w:tcPr>
          <w:p>
            <w:pPr>
              <w:pStyle w:val="TableContents"/>
              <w:bidi w:val="0"/>
              <w:spacing w:before="0" w:after="283"/>
              <w:jc w:val="left"/>
              <w:rPr/>
            </w:pPr>
            <w:r>
              <w:rPr/>
              <w:t> </w:t>
            </w:r>
          </w:p>
        </w:tc>
        <w:tc>
          <w:tcPr>
            <w:tcW w:w="710" w:type="dxa"/>
            <w:tcBorders/>
            <w:shd w:fill="FEFEFE" w:val="clear"/>
            <w:vAlign w:val="center"/>
          </w:tcPr>
          <w:p>
            <w:pPr>
              <w:pStyle w:val="TableContents"/>
              <w:bidi w:val="0"/>
              <w:spacing w:before="0" w:after="283"/>
              <w:jc w:val="left"/>
              <w:rPr/>
            </w:pPr>
            <w:r>
              <w:rPr/>
              <w:t xml:space="preserve">Name: </w:t>
            </w:r>
          </w:p>
        </w:tc>
        <w:tc>
          <w:tcPr>
            <w:tcW w:w="6605" w:type="dxa"/>
            <w:tcBorders/>
            <w:shd w:fill="FEFEFE" w:val="clear"/>
            <w:vAlign w:val="center"/>
          </w:tcPr>
          <w:p>
            <w:pPr>
              <w:pStyle w:val="TableContents"/>
              <w:bidi w:val="0"/>
              <w:spacing w:before="0" w:after="283"/>
              <w:jc w:val="left"/>
              <w:rPr/>
            </w:pPr>
            <w:r>
              <w:rPr/>
              <w:t>Xie, Dongjian</w:t>
            </w:r>
          </w:p>
        </w:tc>
      </w:tr>
      <w:tr>
        <w:trPr/>
        <w:tc>
          <w:tcPr>
            <w:tcW w:w="2000" w:type="dxa"/>
            <w:tcBorders/>
            <w:shd w:fill="FEFEFE" w:val="clear"/>
            <w:vAlign w:val="center"/>
          </w:tcPr>
          <w:p>
            <w:pPr>
              <w:pStyle w:val="TableContents"/>
              <w:bidi w:val="0"/>
              <w:spacing w:before="0" w:after="283"/>
              <w:jc w:val="left"/>
              <w:rPr/>
            </w:pPr>
            <w:r>
              <w:rPr/>
              <w:t> </w:t>
            </w:r>
          </w:p>
        </w:tc>
        <w:tc>
          <w:tcPr>
            <w:tcW w:w="710" w:type="dxa"/>
            <w:tcBorders/>
            <w:shd w:fill="FEFEFE" w:val="clear"/>
            <w:vAlign w:val="center"/>
          </w:tcPr>
          <w:p>
            <w:pPr>
              <w:pStyle w:val="TableContents"/>
              <w:bidi w:val="0"/>
              <w:spacing w:before="0" w:after="283"/>
              <w:jc w:val="left"/>
              <w:rPr/>
            </w:pPr>
            <w:r>
              <w:rPr/>
              <w:t>Title:</w:t>
            </w:r>
          </w:p>
        </w:tc>
        <w:tc>
          <w:tcPr>
            <w:tcW w:w="6605" w:type="dxa"/>
            <w:tcBorders/>
            <w:shd w:fill="FEFEFE" w:val="clear"/>
            <w:vAlign w:val="center"/>
          </w:tcPr>
          <w:p>
            <w:pPr>
              <w:pStyle w:val="TableContents"/>
              <w:bidi w:val="0"/>
              <w:spacing w:before="0" w:after="283"/>
              <w:jc w:val="left"/>
              <w:rPr/>
            </w:pPr>
            <w:r>
              <w:rPr/>
              <w:t>Executive Chairman, Chief Executive Officer and Executive Director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8762901ex99-1.htm"/>
      <w:bookmarkStart w:id="3" w:name="ksea0287629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Delixy Holdings Limited Receives Nasdaq Notification Regarding Minimum Bid Price Deficiency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r>
        <w:rPr>
          <w:rFonts w:ascii="Times New Roman;Times;Serif" w:hAnsi="Times New Roman;Times;Serif"/>
          <w:b w:val="false"/>
          <w:i w:val="false"/>
          <w:caps w:val="false"/>
          <w:smallCaps w:val="false"/>
          <w:sz w:val="20"/>
          <w:shd w:fill="FFFFFF" w:val="clear"/>
        </w:rPr>
        <w:t xml:space="preserve">, April 29, 2026 (GLOBE NEWSWIRE) -- </w:t>
      </w:r>
      <w:r>
        <w:rPr>
          <w:rFonts w:ascii="Times New Roman;Times;Serif" w:hAnsi="Times New Roman;Times;Serif"/>
          <w:b w:val="false"/>
          <w:i w:val="false"/>
          <w:caps w:val="false"/>
          <w:smallCaps w:val="false"/>
          <w:sz w:val="20"/>
        </w:rPr>
        <w:t>Delixy Holdings Limited (Nasdaq: DLXY) (the “Company” or “Delixy”), a Singapore-based company engaged in the trading of oil related products, today announced that the Company received a written notification (the “Notification Letter”) from the Nasdaq Stock Market LLC (“Nasdaq”) on April 23, 2026, notifying the Company that it is not in compliance with the minimum bid price requirement set forth in the Nasdaq Listing Rules for continued listing on the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5550(a)(2) requires listed securities to maintain a minimum bid price of US$1.00 per share, and Nasdaq Listing Rule 5810(c)(3)(A) provides that a failure to meet the minimum bid price requirement exists if the deficiency continues for a period of 30 consecutive business days. Based on the closing bid price of the Company’s Class A ordinary shares for the 30 consecutive business days from March 11, 2026 to April 22, 2026, the Company no longer meets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Notification Letter does not impact the Company’s listing on the Nasdaq Capital Market at this time. In accordance with Nasdaq Listing Rule 5810(c)(3)(A), the Company has been provided 180 calendar days, or until October 20, 2026, to regain compliance with Nasdaq Listing Rule 5550(a)(2). To regain compliance, the Company’s Class A ordinary shares must have a closing bid price of at least US$1.00 for a minimum of 10 consecutive business days. In the event the Company does not regain compliance by October 20, 2026, the Company may be eligible for additional time to regain compliance or may face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operations are not affected by the receipt of the Notification Letter. The Company intends to monitor the closing bid price of its Class A ordinary shares and may, if appropriate, consider implementing available options, including, but not limited to, implementing a reverse stock split of its outstanding Class A ordinary shares, to regain compliance with the minimum bid price requirement under the Nasdaq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Delixy Holdings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Delixy Holdings Limited is a Singapore-based company principally engaged in the trading of oil-related products, including (i) crude oil and (ii) oil-based products such as fuel oil, motor gasoline, additives, gas oil, base oil, asphalt, naphtha (heavy gasoline) and petrochemicals. Operating across multiple countries in Southeast Asia, East Asia, and Middle East, Delixy has established a strong presence in the region's oil trading markets. While Delixy maintains a diversified portfolio of oil products, crude oil trading represents a core aspect of its business. The Company leverages its strong existing relationships with customers and suppliers as well as deep industry expertise to provide value-added services, including tailored recommendations on optimal trading strategies and shipping and logistical support where required. In addition, the Company's financing capabilities allow it to extend credit terms to customers while satisfying suppliers' immediate payment terms. For more information, please visit the Company's website: https://ir.delixy.com.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announcement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find many (but not all) of these statements by the use of words such as “believe”, “plan”, “expect”, “intend”, “should”, “seek”, “estimate”, “will”, “aim” and “anticipate” or other similar expressions in this prospectus.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Registration Statement and other filings with the U.S. Securities and Exchange Commission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media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Delixy Holdings Limited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Department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ir@delixy.com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 Investor Relations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Tina Xiao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+1-646-932-7242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investors@ascent-ir.com</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1214</Words>
  <Characters>6854</Characters>
  <CharactersWithSpaces>8075</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